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146710"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Pr="00146710" w:rsidRDefault="008C6244" w:rsidP="00951CF5">
      <w:pPr>
        <w:pStyle w:val="berschrift4"/>
        <w:ind w:left="142"/>
        <w:rPr>
          <w:rFonts w:ascii="Verdana" w:eastAsia="Times New Roman" w:hAnsi="Verdana" w:cs="Arial"/>
          <w:b/>
          <w:i w:val="0"/>
          <w:iCs w:val="0"/>
          <w:color w:val="auto"/>
          <w:sz w:val="24"/>
          <w:szCs w:val="24"/>
        </w:rPr>
      </w:pPr>
    </w:p>
    <w:p w14:paraId="2530B771" w14:textId="20EA6079" w:rsidR="002465D6" w:rsidRPr="00146710" w:rsidRDefault="008D5B5F" w:rsidP="00951CF5">
      <w:pPr>
        <w:pStyle w:val="berschrift4"/>
        <w:ind w:left="142"/>
        <w:rPr>
          <w:rFonts w:ascii="Verdana" w:eastAsia="Times New Roman" w:hAnsi="Verdana" w:cs="Arial"/>
          <w:b/>
          <w:i w:val="0"/>
          <w:iCs w:val="0"/>
          <w:color w:val="auto"/>
          <w:sz w:val="24"/>
          <w:szCs w:val="24"/>
        </w:rPr>
      </w:pPr>
      <w:r w:rsidRPr="005F7D2A">
        <w:rPr>
          <w:rFonts w:ascii="Verdana" w:eastAsia="Times New Roman" w:hAnsi="Verdana" w:cs="Arial"/>
          <w:b/>
          <w:i w:val="0"/>
          <w:iCs w:val="0"/>
          <w:color w:val="auto"/>
          <w:sz w:val="24"/>
          <w:szCs w:val="24"/>
        </w:rPr>
        <w:t>Press release</w:t>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r w:rsidR="008C6244" w:rsidRPr="00146710">
        <w:rPr>
          <w:rFonts w:ascii="Verdana" w:eastAsia="Times New Roman" w:hAnsi="Verdana" w:cs="Arial"/>
          <w:b/>
          <w:i w:val="0"/>
          <w:iCs w:val="0"/>
          <w:color w:val="auto"/>
          <w:sz w:val="24"/>
          <w:szCs w:val="24"/>
        </w:rPr>
        <w:tab/>
      </w:r>
    </w:p>
    <w:p w14:paraId="7E614A17" w14:textId="77777777" w:rsidR="002465D6" w:rsidRPr="00146710" w:rsidRDefault="002465D6" w:rsidP="000E2428">
      <w:pPr>
        <w:tabs>
          <w:tab w:val="left" w:pos="6237"/>
        </w:tabs>
        <w:spacing w:after="0"/>
        <w:ind w:left="142" w:right="1132"/>
        <w:rPr>
          <w:rFonts w:ascii="Verdana" w:eastAsia="Times New Roman" w:hAnsi="Verdana" w:cs="Arial"/>
          <w:b/>
          <w:sz w:val="28"/>
          <w:szCs w:val="28"/>
        </w:rPr>
      </w:pPr>
    </w:p>
    <w:p w14:paraId="106E87FF" w14:textId="4D025A54" w:rsidR="002C7679" w:rsidRPr="00146710" w:rsidRDefault="008D5B5F" w:rsidP="000E2428">
      <w:pPr>
        <w:tabs>
          <w:tab w:val="left" w:pos="6237"/>
        </w:tabs>
        <w:spacing w:after="0"/>
        <w:ind w:left="142" w:right="1132"/>
        <w:rPr>
          <w:rFonts w:ascii="Verdana" w:hAnsi="Verdana" w:cs="Arial"/>
          <w:b/>
          <w:sz w:val="20"/>
          <w:szCs w:val="20"/>
        </w:rPr>
      </w:pPr>
      <w:r w:rsidRPr="008D5B5F">
        <w:rPr>
          <w:rFonts w:ascii="Verdana" w:hAnsi="Verdana" w:cs="Arial"/>
          <w:b/>
          <w:sz w:val="20"/>
          <w:szCs w:val="20"/>
        </w:rPr>
        <w:t>Securing supplies</w:t>
      </w:r>
    </w:p>
    <w:p w14:paraId="2999B79F" w14:textId="2FC03254" w:rsidR="002C7679" w:rsidRPr="00146710" w:rsidRDefault="008D5B5F" w:rsidP="000E2428">
      <w:pPr>
        <w:tabs>
          <w:tab w:val="left" w:pos="6237"/>
        </w:tabs>
        <w:spacing w:after="0"/>
        <w:ind w:left="142" w:right="1132"/>
        <w:rPr>
          <w:rFonts w:ascii="Verdana" w:eastAsia="Times New Roman" w:hAnsi="Verdana" w:cs="Arial"/>
          <w:b/>
          <w:sz w:val="24"/>
          <w:szCs w:val="24"/>
        </w:rPr>
      </w:pPr>
      <w:r w:rsidRPr="008D5B5F">
        <w:rPr>
          <w:rFonts w:ascii="Verdana" w:eastAsia="Times New Roman" w:hAnsi="Verdana" w:cs="Arial"/>
          <w:b/>
          <w:sz w:val="24"/>
          <w:szCs w:val="24"/>
        </w:rPr>
        <w:t>How PET bottles help in emergencies</w:t>
      </w:r>
    </w:p>
    <w:p w14:paraId="7C90360F" w14:textId="77777777" w:rsidR="005264A6" w:rsidRPr="00146710" w:rsidRDefault="005264A6" w:rsidP="00F958BF">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146710" w14:paraId="6801B49D" w14:textId="77777777" w:rsidTr="00023E38">
        <w:tc>
          <w:tcPr>
            <w:tcW w:w="7230" w:type="dxa"/>
          </w:tcPr>
          <w:p w14:paraId="39011C97" w14:textId="4146984B" w:rsidR="002C7679" w:rsidRPr="00146710" w:rsidRDefault="008D5B5F" w:rsidP="00011AC5">
            <w:pPr>
              <w:spacing w:line="276" w:lineRule="auto"/>
              <w:rPr>
                <w:rFonts w:ascii="Verdana" w:eastAsiaTheme="minorHAnsi" w:hAnsi="Verdana"/>
                <w:b/>
                <w:sz w:val="20"/>
                <w:szCs w:val="20"/>
                <w:lang w:eastAsia="en-US"/>
              </w:rPr>
            </w:pPr>
            <w:r w:rsidRPr="008D5B5F">
              <w:rPr>
                <w:rFonts w:ascii="Verdana" w:eastAsiaTheme="minorHAnsi" w:hAnsi="Verdana"/>
                <w:b/>
                <w:sz w:val="20"/>
                <w:szCs w:val="20"/>
                <w:lang w:eastAsia="en-US"/>
              </w:rPr>
              <w:t>In a crisis, providing clean drinking water is a top priority. Plastic bottles are the means of choice here and provide help quickly. This is because the water in the lightweight and unbreakable plastic packaging can be transported directly to the place of use.</w:t>
            </w:r>
          </w:p>
          <w:p w14:paraId="58E3B957" w14:textId="77777777" w:rsidR="002C7679" w:rsidRPr="00146710" w:rsidRDefault="002C7679" w:rsidP="00011AC5">
            <w:pPr>
              <w:spacing w:line="276" w:lineRule="auto"/>
              <w:rPr>
                <w:rFonts w:ascii="Verdana" w:eastAsiaTheme="minorHAnsi" w:hAnsi="Verdana"/>
                <w:b/>
                <w:sz w:val="20"/>
                <w:szCs w:val="20"/>
                <w:lang w:eastAsia="en-US"/>
              </w:rPr>
            </w:pPr>
          </w:p>
          <w:p w14:paraId="3DA3F30F" w14:textId="495A67A8" w:rsidR="002C7679" w:rsidRPr="00146710" w:rsidRDefault="008D5B5F" w:rsidP="00011AC5">
            <w:pPr>
              <w:spacing w:line="276" w:lineRule="auto"/>
              <w:rPr>
                <w:rFonts w:ascii="Verdana" w:eastAsiaTheme="minorHAnsi" w:hAnsi="Verdana"/>
                <w:sz w:val="20"/>
                <w:szCs w:val="20"/>
                <w:lang w:eastAsia="en-US"/>
              </w:rPr>
            </w:pPr>
            <w:r w:rsidRPr="008D5B5F">
              <w:rPr>
                <w:rFonts w:ascii="Verdana" w:eastAsiaTheme="minorHAnsi" w:hAnsi="Verdana"/>
                <w:sz w:val="20"/>
                <w:szCs w:val="20"/>
                <w:lang w:eastAsia="en-US"/>
              </w:rPr>
              <w:t>Plastic bottles demonstrate their value in everyday life and additionally in extreme situations: they allow people to be supplied with drinking water quickly - saving lives when supply structures have collapsed.</w:t>
            </w:r>
          </w:p>
          <w:p w14:paraId="682071F0" w14:textId="77777777" w:rsidR="003532A6" w:rsidRPr="00146710" w:rsidRDefault="003532A6" w:rsidP="00011AC5">
            <w:pPr>
              <w:spacing w:line="276" w:lineRule="auto"/>
              <w:rPr>
                <w:rFonts w:ascii="Verdana" w:eastAsiaTheme="minorHAnsi" w:hAnsi="Verdana"/>
                <w:sz w:val="20"/>
                <w:szCs w:val="20"/>
                <w:lang w:eastAsia="en-US"/>
              </w:rPr>
            </w:pPr>
          </w:p>
          <w:p w14:paraId="2FAF6EFF" w14:textId="73121E47" w:rsidR="002C7679" w:rsidRPr="00146710" w:rsidRDefault="008D5B5F" w:rsidP="00011AC5">
            <w:pPr>
              <w:spacing w:line="276" w:lineRule="auto"/>
              <w:rPr>
                <w:rFonts w:ascii="Verdana" w:eastAsiaTheme="minorHAnsi" w:hAnsi="Verdana"/>
                <w:b/>
                <w:bCs/>
                <w:sz w:val="20"/>
                <w:szCs w:val="20"/>
                <w:lang w:eastAsia="en-US"/>
              </w:rPr>
            </w:pPr>
            <w:r w:rsidRPr="008D5B5F">
              <w:rPr>
                <w:rFonts w:ascii="Verdana" w:eastAsiaTheme="minorHAnsi" w:hAnsi="Verdana"/>
                <w:b/>
                <w:sz w:val="20"/>
                <w:szCs w:val="20"/>
                <w:lang w:eastAsia="en-US"/>
              </w:rPr>
              <w:t>Ideal for mobile use</w:t>
            </w:r>
          </w:p>
          <w:p w14:paraId="291DB4BE" w14:textId="77777777"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Natural disasters and conflicts dominate world events. Crises require immediate action, especially when it comes to water. Until drinking water treatment systems are installed on site, plastic bottles can be used to ease initial hardship. In addition, the hygienic and practical PET bottles are an essential element in decentralized water distribution - especially for remote areas and those that are difficult to access.</w:t>
            </w:r>
          </w:p>
          <w:p w14:paraId="73ABA494" w14:textId="77777777" w:rsidR="008D5B5F" w:rsidRPr="008D5B5F" w:rsidRDefault="008D5B5F" w:rsidP="00011AC5">
            <w:pPr>
              <w:spacing w:line="276" w:lineRule="auto"/>
              <w:ind w:right="179"/>
              <w:rPr>
                <w:rFonts w:ascii="Verdana" w:eastAsiaTheme="minorHAnsi" w:hAnsi="Verdana"/>
                <w:sz w:val="20"/>
                <w:szCs w:val="20"/>
                <w:lang w:eastAsia="en-US"/>
              </w:rPr>
            </w:pPr>
          </w:p>
          <w:p w14:paraId="1AD5AD84" w14:textId="6D5DC474"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"Bottled drinking water is what makes the supply of clean, safe water possible in the first place in many regions and especially in crisis areas. In this way, drinking water can be stored, transported and made avail-able quickly when needed. PET bottles are also a suitable concept: they are lightweight, safe, unbreakable and recyclable," says Dr. Sieglinde Stähle, Scientific Director at the German Food Association. Plastic bottles are also suitable for supplying refugees who can only carry a small amount of weight with them.</w:t>
            </w:r>
          </w:p>
          <w:p w14:paraId="126E5C39" w14:textId="77777777" w:rsidR="008D5B5F" w:rsidRPr="008D5B5F" w:rsidRDefault="008D5B5F" w:rsidP="00011AC5">
            <w:pPr>
              <w:spacing w:line="276" w:lineRule="auto"/>
              <w:ind w:right="179"/>
              <w:rPr>
                <w:rFonts w:ascii="Verdana" w:eastAsiaTheme="minorHAnsi" w:hAnsi="Verdana"/>
                <w:sz w:val="20"/>
                <w:szCs w:val="20"/>
                <w:lang w:eastAsia="en-US"/>
              </w:rPr>
            </w:pPr>
          </w:p>
          <w:p w14:paraId="2ED4C42F" w14:textId="7F64DE8C"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The demand is high: in 2022, over 340 million people worldwide were in humanitarian need</w:t>
            </w:r>
            <w:r>
              <w:rPr>
                <w:rStyle w:val="Funotenzeichen"/>
                <w:rFonts w:ascii="Verdana" w:eastAsiaTheme="minorHAnsi" w:hAnsi="Verdana"/>
                <w:sz w:val="20"/>
                <w:szCs w:val="20"/>
                <w:lang w:eastAsia="en-US"/>
              </w:rPr>
              <w:footnoteReference w:id="1"/>
            </w:r>
            <w:r w:rsidRPr="008D5B5F">
              <w:rPr>
                <w:rFonts w:ascii="Verdana" w:eastAsiaTheme="minorHAnsi" w:hAnsi="Verdana"/>
                <w:sz w:val="20"/>
                <w:szCs w:val="20"/>
                <w:lang w:eastAsia="en-US"/>
              </w:rPr>
              <w:t>, 108.4 million refugees</w:t>
            </w:r>
            <w:r>
              <w:rPr>
                <w:rStyle w:val="Funotenzeichen"/>
                <w:rFonts w:ascii="Verdana" w:eastAsiaTheme="minorHAnsi" w:hAnsi="Verdana"/>
                <w:sz w:val="20"/>
                <w:szCs w:val="20"/>
                <w:lang w:eastAsia="en-US"/>
              </w:rPr>
              <w:footnoteReference w:id="2"/>
            </w:r>
            <w:r w:rsidRPr="008D5B5F">
              <w:rPr>
                <w:rFonts w:ascii="Verdana" w:eastAsiaTheme="minorHAnsi" w:hAnsi="Verdana"/>
                <w:sz w:val="20"/>
                <w:szCs w:val="20"/>
                <w:lang w:eastAsia="en-US"/>
              </w:rPr>
              <w:t>, there were 421 natural disasters</w:t>
            </w:r>
            <w:r>
              <w:rPr>
                <w:rStyle w:val="Funotenzeichen"/>
                <w:rFonts w:ascii="Verdana" w:eastAsiaTheme="minorHAnsi" w:hAnsi="Verdana"/>
                <w:sz w:val="20"/>
                <w:szCs w:val="20"/>
                <w:lang w:eastAsia="en-US"/>
              </w:rPr>
              <w:footnoteReference w:id="3"/>
            </w:r>
            <w:r w:rsidRPr="008D5B5F">
              <w:rPr>
                <w:rFonts w:ascii="Verdana" w:eastAsiaTheme="minorHAnsi" w:hAnsi="Verdana"/>
                <w:sz w:val="20"/>
                <w:szCs w:val="20"/>
                <w:lang w:eastAsia="en-US"/>
              </w:rPr>
              <w:t xml:space="preserve"> and a total of 363 conflicts</w:t>
            </w:r>
            <w:r>
              <w:rPr>
                <w:rStyle w:val="Funotenzeichen"/>
                <w:rFonts w:ascii="Verdana" w:eastAsiaTheme="minorHAnsi" w:hAnsi="Verdana"/>
                <w:sz w:val="20"/>
                <w:szCs w:val="20"/>
                <w:lang w:eastAsia="en-US"/>
              </w:rPr>
              <w:footnoteReference w:id="4"/>
            </w:r>
            <w:r w:rsidRPr="008D5B5F">
              <w:rPr>
                <w:rFonts w:ascii="Verdana" w:eastAsiaTheme="minorHAnsi" w:hAnsi="Verdana"/>
                <w:sz w:val="20"/>
                <w:szCs w:val="20"/>
                <w:lang w:eastAsia="en-US"/>
              </w:rPr>
              <w:t xml:space="preserve">. Such as the war in Ukraine, which in the same year asked other countries for the </w:t>
            </w:r>
            <w:r w:rsidRPr="008D5B5F">
              <w:rPr>
                <w:rFonts w:ascii="Verdana" w:eastAsiaTheme="minorHAnsi" w:hAnsi="Verdana"/>
                <w:sz w:val="20"/>
                <w:szCs w:val="20"/>
                <w:lang w:eastAsia="en-US"/>
              </w:rPr>
              <w:lastRenderedPageBreak/>
              <w:t>delivery of drinking water and PET bottles to supply its population</w:t>
            </w:r>
            <w:r>
              <w:rPr>
                <w:rStyle w:val="Funotenzeichen"/>
                <w:rFonts w:ascii="Verdana" w:eastAsiaTheme="minorHAnsi" w:hAnsi="Verdana"/>
                <w:sz w:val="20"/>
                <w:szCs w:val="20"/>
                <w:lang w:eastAsia="en-US"/>
              </w:rPr>
              <w:footnoteReference w:id="5"/>
            </w:r>
            <w:r w:rsidRPr="008D5B5F">
              <w:rPr>
                <w:rFonts w:ascii="Verdana" w:eastAsiaTheme="minorHAnsi" w:hAnsi="Verdana"/>
                <w:sz w:val="20"/>
                <w:szCs w:val="20"/>
                <w:lang w:eastAsia="en-US"/>
              </w:rPr>
              <w:t>. To prepare for emergencies, the German Federal Office of Civil Protection and Disaster Assistance advises to keep two liters of liquid per person per day</w:t>
            </w:r>
            <w:r>
              <w:rPr>
                <w:rStyle w:val="Funotenzeichen"/>
                <w:rFonts w:ascii="Verdana" w:eastAsiaTheme="minorHAnsi" w:hAnsi="Verdana"/>
                <w:sz w:val="20"/>
                <w:szCs w:val="20"/>
                <w:lang w:eastAsia="en-US"/>
              </w:rPr>
              <w:footnoteReference w:id="6"/>
            </w:r>
            <w:r w:rsidRPr="008D5B5F">
              <w:rPr>
                <w:rFonts w:ascii="Verdana" w:eastAsiaTheme="minorHAnsi" w:hAnsi="Verdana"/>
                <w:sz w:val="20"/>
                <w:szCs w:val="20"/>
                <w:lang w:eastAsia="en-US"/>
              </w:rPr>
              <w:t>, which corresponds to 60 liters for a 10-day supply of drinks for a three-person household - which can be easily stored in 40 lightweight and stable 1.5-liter PET bottles and quickly and safely relocated if necessary.</w:t>
            </w:r>
          </w:p>
          <w:p w14:paraId="337711DF" w14:textId="77777777" w:rsidR="008D5B5F" w:rsidRPr="008D5B5F" w:rsidRDefault="008D5B5F" w:rsidP="00011AC5">
            <w:pPr>
              <w:spacing w:line="276" w:lineRule="auto"/>
              <w:ind w:right="179"/>
              <w:rPr>
                <w:rFonts w:ascii="Verdana" w:eastAsiaTheme="minorHAnsi" w:hAnsi="Verdana"/>
                <w:sz w:val="20"/>
                <w:szCs w:val="20"/>
                <w:lang w:eastAsia="en-US"/>
              </w:rPr>
            </w:pPr>
          </w:p>
          <w:p w14:paraId="79F566D5" w14:textId="77777777" w:rsidR="008D5B5F" w:rsidRPr="008D5B5F" w:rsidRDefault="008D5B5F" w:rsidP="00011AC5">
            <w:pPr>
              <w:spacing w:line="276" w:lineRule="auto"/>
              <w:ind w:right="179"/>
              <w:rPr>
                <w:rFonts w:ascii="Verdana" w:eastAsiaTheme="minorHAnsi" w:hAnsi="Verdana"/>
                <w:b/>
                <w:bCs/>
                <w:sz w:val="20"/>
                <w:szCs w:val="20"/>
                <w:lang w:eastAsia="en-US"/>
              </w:rPr>
            </w:pPr>
            <w:r w:rsidRPr="008D5B5F">
              <w:rPr>
                <w:rFonts w:ascii="Verdana" w:eastAsiaTheme="minorHAnsi" w:hAnsi="Verdana"/>
                <w:b/>
                <w:bCs/>
                <w:sz w:val="20"/>
                <w:szCs w:val="20"/>
                <w:lang w:eastAsia="en-US"/>
              </w:rPr>
              <w:t>Social plastic alleviates poverty</w:t>
            </w:r>
          </w:p>
          <w:p w14:paraId="5676FCE1" w14:textId="6B5F580B"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While PET bottles prove to be an essential part of the supply chain in acute crises, disadvantaged regions in developing and emerging countries can also benefit from plastic. In addition to the material benefits, the low production costs of plastic bottles make them accessible to socially disadvantaged parts of the population.</w:t>
            </w:r>
          </w:p>
          <w:p w14:paraId="2DD01530" w14:textId="77777777" w:rsidR="008D5B5F" w:rsidRPr="008D5B5F" w:rsidRDefault="008D5B5F" w:rsidP="00011AC5">
            <w:pPr>
              <w:spacing w:line="276" w:lineRule="auto"/>
              <w:ind w:right="179"/>
              <w:rPr>
                <w:rFonts w:ascii="Verdana" w:eastAsiaTheme="minorHAnsi" w:hAnsi="Verdana"/>
                <w:sz w:val="20"/>
                <w:szCs w:val="20"/>
                <w:lang w:eastAsia="en-US"/>
              </w:rPr>
            </w:pPr>
          </w:p>
          <w:p w14:paraId="22C996ED" w14:textId="756341C2" w:rsidR="008D5B5F" w:rsidRPr="008D5B5F" w:rsidRDefault="008D5B5F" w:rsidP="00011AC5">
            <w:pPr>
              <w:spacing w:line="276" w:lineRule="auto"/>
              <w:ind w:right="179"/>
              <w:rPr>
                <w:rFonts w:ascii="Verdana" w:eastAsiaTheme="minorHAnsi" w:hAnsi="Verdana"/>
                <w:sz w:val="20"/>
                <w:szCs w:val="20"/>
                <w:lang w:eastAsia="en-US"/>
              </w:rPr>
            </w:pPr>
            <w:r w:rsidRPr="008D5B5F">
              <w:rPr>
                <w:rFonts w:ascii="Verdana" w:eastAsiaTheme="minorHAnsi" w:hAnsi="Verdana"/>
                <w:sz w:val="20"/>
                <w:szCs w:val="20"/>
                <w:lang w:eastAsia="en-US"/>
              </w:rPr>
              <w:t>Plastic waste is also being discovered as a source of recyclable materials, offering income prospects. For example, in Mexico, where a recycling company with the involvement of a packaging manufacturer accepts used PET bottles from collectors for a fee - using its own trucks, among other things, to make up for the lack of infrastructure. A project that brings together waste disposal and poverty reduction. The same approach is pursued by plasticbank</w:t>
            </w:r>
            <w:r>
              <w:rPr>
                <w:rStyle w:val="Funotenzeichen"/>
                <w:rFonts w:ascii="Verdana" w:eastAsiaTheme="minorHAnsi" w:hAnsi="Verdana"/>
                <w:sz w:val="20"/>
                <w:szCs w:val="20"/>
                <w:lang w:eastAsia="en-US"/>
              </w:rPr>
              <w:footnoteReference w:id="7"/>
            </w:r>
            <w:r w:rsidRPr="008D5B5F">
              <w:rPr>
                <w:rFonts w:ascii="Verdana" w:eastAsiaTheme="minorHAnsi" w:hAnsi="Verdana"/>
                <w:sz w:val="20"/>
                <w:szCs w:val="20"/>
                <w:lang w:eastAsia="en-US"/>
              </w:rPr>
              <w:t>, where collected plastic waste can be exchanged for cash, everyday goods or services such as internet access and cell phone charging.</w:t>
            </w:r>
          </w:p>
          <w:p w14:paraId="2AAFB653" w14:textId="77777777" w:rsidR="008D5B5F" w:rsidRPr="008D5B5F" w:rsidRDefault="008D5B5F" w:rsidP="00011AC5">
            <w:pPr>
              <w:spacing w:line="276" w:lineRule="auto"/>
              <w:ind w:right="179"/>
              <w:rPr>
                <w:rFonts w:ascii="Verdana" w:eastAsiaTheme="minorHAnsi" w:hAnsi="Verdana"/>
                <w:sz w:val="20"/>
                <w:szCs w:val="20"/>
                <w:lang w:eastAsia="en-US"/>
              </w:rPr>
            </w:pPr>
          </w:p>
          <w:p w14:paraId="2B18708C" w14:textId="49FA30F7" w:rsidR="003532A6" w:rsidRPr="00146710" w:rsidRDefault="008D5B5F" w:rsidP="00011AC5">
            <w:pPr>
              <w:spacing w:line="276" w:lineRule="auto"/>
              <w:rPr>
                <w:rFonts w:ascii="Verdana" w:eastAsiaTheme="minorHAnsi" w:hAnsi="Verdana"/>
                <w:sz w:val="20"/>
                <w:szCs w:val="20"/>
                <w:lang w:eastAsia="en-US"/>
              </w:rPr>
            </w:pPr>
            <w:r w:rsidRPr="008D5B5F">
              <w:rPr>
                <w:rFonts w:ascii="Verdana" w:eastAsiaTheme="minorHAnsi" w:hAnsi="Verdana"/>
                <w:sz w:val="20"/>
                <w:szCs w:val="20"/>
                <w:lang w:eastAsia="en-US"/>
              </w:rPr>
              <w:t>Drinking water is essential. According to the UN World Water Report 2022, 2.2 billion people do not have a direct supply of safe drinking water</w:t>
            </w:r>
            <w:r>
              <w:rPr>
                <w:rStyle w:val="Funotenzeichen"/>
                <w:rFonts w:ascii="Verdana" w:eastAsiaTheme="minorHAnsi" w:hAnsi="Verdana"/>
                <w:sz w:val="20"/>
                <w:szCs w:val="20"/>
                <w:lang w:eastAsia="en-US"/>
              </w:rPr>
              <w:footnoteReference w:id="8"/>
            </w:r>
            <w:r w:rsidRPr="008D5B5F">
              <w:rPr>
                <w:rFonts w:ascii="Verdana" w:eastAsiaTheme="minorHAnsi" w:hAnsi="Verdana"/>
                <w:sz w:val="20"/>
                <w:szCs w:val="20"/>
                <w:lang w:eastAsia="en-US"/>
              </w:rPr>
              <w:t>. And UNICEF states: In conflicts and crises, children are twice as likely to lack access to water</w:t>
            </w:r>
            <w:r>
              <w:rPr>
                <w:rStyle w:val="Funotenzeichen"/>
                <w:rFonts w:ascii="Verdana" w:eastAsiaTheme="minorHAnsi" w:hAnsi="Verdana"/>
                <w:sz w:val="20"/>
                <w:szCs w:val="20"/>
                <w:lang w:eastAsia="en-US"/>
              </w:rPr>
              <w:footnoteReference w:id="9"/>
            </w:r>
            <w:r w:rsidRPr="008D5B5F">
              <w:rPr>
                <w:rFonts w:ascii="Verdana" w:eastAsiaTheme="minorHAnsi" w:hAnsi="Verdana"/>
                <w:sz w:val="20"/>
                <w:szCs w:val="20"/>
                <w:lang w:eastAsia="en-US"/>
              </w:rPr>
              <w:t>. Plastic bottles can make an important contribution here.</w:t>
            </w:r>
          </w:p>
          <w:p w14:paraId="70AD84F2" w14:textId="77777777" w:rsidR="00011AC5" w:rsidRDefault="00011AC5" w:rsidP="00011AC5">
            <w:pPr>
              <w:spacing w:line="276" w:lineRule="auto"/>
              <w:rPr>
                <w:rFonts w:ascii="Verdana" w:eastAsiaTheme="minorHAnsi" w:hAnsi="Verdana"/>
                <w:sz w:val="20"/>
                <w:szCs w:val="20"/>
                <w:lang w:eastAsia="en-US"/>
              </w:rPr>
            </w:pPr>
          </w:p>
          <w:p w14:paraId="0EBB4211" w14:textId="77777777" w:rsidR="00011AC5" w:rsidRDefault="00011AC5" w:rsidP="00011AC5">
            <w:pPr>
              <w:spacing w:line="276" w:lineRule="auto"/>
              <w:rPr>
                <w:rFonts w:ascii="Verdana" w:eastAsiaTheme="minorHAnsi" w:hAnsi="Verdana"/>
                <w:sz w:val="20"/>
                <w:szCs w:val="20"/>
                <w:lang w:eastAsia="en-US"/>
              </w:rPr>
            </w:pPr>
          </w:p>
          <w:p w14:paraId="407FFC36" w14:textId="77777777" w:rsidR="00011AC5" w:rsidRDefault="00011AC5" w:rsidP="00011AC5">
            <w:pPr>
              <w:spacing w:line="276" w:lineRule="auto"/>
              <w:rPr>
                <w:rFonts w:ascii="Verdana" w:eastAsiaTheme="minorHAnsi" w:hAnsi="Verdana"/>
                <w:sz w:val="20"/>
                <w:szCs w:val="20"/>
                <w:lang w:eastAsia="en-US"/>
              </w:rPr>
            </w:pPr>
          </w:p>
          <w:p w14:paraId="34FFCC8B" w14:textId="77777777" w:rsidR="00011AC5" w:rsidRDefault="00011AC5" w:rsidP="00011AC5">
            <w:pPr>
              <w:spacing w:line="276" w:lineRule="auto"/>
              <w:rPr>
                <w:rFonts w:ascii="Verdana" w:eastAsiaTheme="minorHAnsi" w:hAnsi="Verdana"/>
                <w:sz w:val="20"/>
                <w:szCs w:val="20"/>
                <w:lang w:eastAsia="en-US"/>
              </w:rPr>
            </w:pPr>
          </w:p>
          <w:p w14:paraId="21B3EA5F" w14:textId="77777777" w:rsidR="00011AC5" w:rsidRDefault="00011AC5" w:rsidP="00011AC5">
            <w:pPr>
              <w:spacing w:line="276" w:lineRule="auto"/>
              <w:rPr>
                <w:rFonts w:ascii="Verdana" w:eastAsiaTheme="minorHAnsi" w:hAnsi="Verdana"/>
                <w:sz w:val="20"/>
                <w:szCs w:val="20"/>
                <w:lang w:eastAsia="en-US"/>
              </w:rPr>
            </w:pPr>
          </w:p>
          <w:p w14:paraId="56BEC2F2" w14:textId="77777777" w:rsidR="00011AC5" w:rsidRDefault="00011AC5" w:rsidP="00011AC5">
            <w:pPr>
              <w:spacing w:line="276" w:lineRule="auto"/>
              <w:rPr>
                <w:rFonts w:ascii="Verdana" w:eastAsiaTheme="minorHAnsi" w:hAnsi="Verdana"/>
                <w:sz w:val="20"/>
                <w:szCs w:val="20"/>
                <w:lang w:eastAsia="en-US"/>
              </w:rPr>
            </w:pPr>
          </w:p>
          <w:p w14:paraId="797FC88B" w14:textId="77777777" w:rsidR="00011AC5" w:rsidRDefault="00011AC5" w:rsidP="00011AC5">
            <w:pPr>
              <w:spacing w:line="276" w:lineRule="auto"/>
              <w:rPr>
                <w:rFonts w:ascii="Verdana" w:eastAsiaTheme="minorHAnsi" w:hAnsi="Verdana"/>
                <w:sz w:val="20"/>
                <w:szCs w:val="20"/>
                <w:lang w:eastAsia="en-US"/>
              </w:rPr>
            </w:pPr>
          </w:p>
          <w:p w14:paraId="687ED7B8" w14:textId="77777777" w:rsidR="008D5B5F" w:rsidRDefault="008D5B5F" w:rsidP="00011AC5">
            <w:pPr>
              <w:spacing w:line="276" w:lineRule="auto"/>
              <w:rPr>
                <w:rFonts w:ascii="Verdana" w:eastAsiaTheme="minorHAnsi" w:hAnsi="Verdana"/>
                <w:b/>
                <w:bCs/>
                <w:sz w:val="20"/>
                <w:szCs w:val="20"/>
                <w:lang w:val="de-DE" w:eastAsia="en-US"/>
              </w:rPr>
            </w:pPr>
            <w:r w:rsidRPr="008D5B5F">
              <w:rPr>
                <w:rFonts w:ascii="Verdana" w:eastAsiaTheme="minorHAnsi" w:hAnsi="Verdana"/>
                <w:b/>
                <w:bCs/>
                <w:sz w:val="20"/>
                <w:szCs w:val="20"/>
                <w:lang w:val="de-DE" w:eastAsia="en-US"/>
              </w:rPr>
              <w:lastRenderedPageBreak/>
              <w:t>Image</w:t>
            </w:r>
          </w:p>
          <w:p w14:paraId="2DDAD315" w14:textId="77777777" w:rsidR="008D5B5F" w:rsidRDefault="008D5B5F" w:rsidP="00011AC5">
            <w:pPr>
              <w:spacing w:line="276" w:lineRule="auto"/>
              <w:rPr>
                <w:rFonts w:ascii="Verdana" w:eastAsiaTheme="minorHAnsi" w:hAnsi="Verdana"/>
                <w:b/>
                <w:bCs/>
                <w:sz w:val="20"/>
                <w:szCs w:val="20"/>
                <w:lang w:val="de-DE" w:eastAsia="en-US"/>
              </w:rPr>
            </w:pPr>
          </w:p>
          <w:p w14:paraId="25825528" w14:textId="1409970E" w:rsidR="008D5B5F" w:rsidRPr="008D5B5F" w:rsidRDefault="008D5B5F" w:rsidP="00011AC5">
            <w:pPr>
              <w:spacing w:line="276" w:lineRule="auto"/>
              <w:rPr>
                <w:rFonts w:ascii="Verdana" w:eastAsiaTheme="minorHAnsi" w:hAnsi="Verdana"/>
                <w:b/>
                <w:bCs/>
                <w:sz w:val="20"/>
                <w:szCs w:val="20"/>
                <w:lang w:val="de-DE" w:eastAsia="en-US"/>
              </w:rPr>
            </w:pPr>
            <w:r>
              <w:rPr>
                <w:noProof/>
              </w:rPr>
              <w:drawing>
                <wp:inline distT="0" distB="0" distL="0" distR="0" wp14:anchorId="4EF4BE6A" wp14:editId="525C32C2">
                  <wp:extent cx="3466169" cy="2305685"/>
                  <wp:effectExtent l="0" t="0" r="1270" b="0"/>
                  <wp:docPr id="8166446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3423" cy="2310510"/>
                          </a:xfrm>
                          <a:prstGeom prst="rect">
                            <a:avLst/>
                          </a:prstGeom>
                          <a:noFill/>
                          <a:ln>
                            <a:noFill/>
                          </a:ln>
                        </pic:spPr>
                      </pic:pic>
                    </a:graphicData>
                  </a:graphic>
                </wp:inline>
              </w:drawing>
            </w:r>
          </w:p>
          <w:p w14:paraId="6526AC19" w14:textId="5E4E4363" w:rsidR="008D5B5F" w:rsidRPr="0023354A" w:rsidRDefault="008D5B5F" w:rsidP="006637AE">
            <w:pPr>
              <w:spacing w:line="276" w:lineRule="auto"/>
              <w:ind w:left="29"/>
              <w:rPr>
                <w:rFonts w:ascii="Verdana" w:eastAsiaTheme="minorHAnsi" w:hAnsi="Verdana"/>
                <w:i/>
                <w:iCs/>
                <w:sz w:val="20"/>
                <w:szCs w:val="20"/>
                <w:lang w:eastAsia="en-US"/>
              </w:rPr>
            </w:pPr>
            <w:r w:rsidRPr="0023354A">
              <w:rPr>
                <w:rFonts w:ascii="Verdana" w:eastAsiaTheme="minorHAnsi" w:hAnsi="Verdana"/>
                <w:i/>
                <w:iCs/>
                <w:sz w:val="20"/>
                <w:szCs w:val="20"/>
                <w:lang w:eastAsia="en-US"/>
              </w:rPr>
              <w:t>Conflicts, natural disasters and displacement bring humanitarian hardship to people. “Bottled drinking water is what makes the supply of clean, safe water possible in the first place in many regions and especially in crisis are-as,” says Dr. Sieglinde Stähle, Scientific Director at the German Food Association.</w:t>
            </w:r>
            <w:r w:rsidR="006637AE" w:rsidRPr="0023354A">
              <w:rPr>
                <w:rFonts w:ascii="Verdana" w:eastAsiaTheme="minorHAnsi" w:hAnsi="Verdana"/>
                <w:i/>
                <w:iCs/>
                <w:sz w:val="20"/>
                <w:szCs w:val="20"/>
                <w:lang w:eastAsia="en-US"/>
              </w:rPr>
              <w:t xml:space="preserve"> (ALPLA, own image)</w:t>
            </w:r>
          </w:p>
          <w:p w14:paraId="7C479F28" w14:textId="77777777" w:rsidR="008D5B5F" w:rsidRDefault="008D5B5F" w:rsidP="00011AC5">
            <w:pPr>
              <w:spacing w:line="276" w:lineRule="auto"/>
              <w:rPr>
                <w:rFonts w:ascii="Verdana" w:eastAsiaTheme="minorHAnsi" w:hAnsi="Verdana"/>
                <w:sz w:val="20"/>
                <w:szCs w:val="20"/>
                <w:lang w:eastAsia="en-US"/>
              </w:rPr>
            </w:pPr>
          </w:p>
          <w:p w14:paraId="567F30C5" w14:textId="77777777" w:rsidR="008D5B5F" w:rsidRDefault="008D5B5F" w:rsidP="00011AC5">
            <w:pPr>
              <w:spacing w:line="276" w:lineRule="auto"/>
              <w:rPr>
                <w:rFonts w:ascii="Verdana" w:eastAsiaTheme="minorHAnsi" w:hAnsi="Verdana"/>
                <w:sz w:val="20"/>
                <w:szCs w:val="20"/>
                <w:lang w:eastAsia="en-US"/>
              </w:rPr>
            </w:pPr>
          </w:p>
          <w:p w14:paraId="77BD4614" w14:textId="77777777" w:rsidR="006637AE" w:rsidRPr="00146710" w:rsidRDefault="006637AE" w:rsidP="00011AC5">
            <w:pPr>
              <w:spacing w:line="276" w:lineRule="auto"/>
              <w:rPr>
                <w:rFonts w:ascii="Verdana" w:eastAsiaTheme="minorHAnsi" w:hAnsi="Verdana"/>
                <w:sz w:val="20"/>
                <w:szCs w:val="20"/>
                <w:lang w:eastAsia="en-US"/>
              </w:rPr>
            </w:pPr>
          </w:p>
          <w:p w14:paraId="0B835866" w14:textId="77777777" w:rsidR="008D5B5F" w:rsidRPr="005F7D2A" w:rsidRDefault="008D5B5F" w:rsidP="00011AC5">
            <w:pPr>
              <w:spacing w:line="276" w:lineRule="auto"/>
              <w:rPr>
                <w:rFonts w:ascii="Verdana" w:eastAsiaTheme="minorHAnsi" w:hAnsi="Verdana"/>
                <w:b/>
                <w:bCs/>
                <w:sz w:val="20"/>
                <w:szCs w:val="20"/>
                <w:lang w:eastAsia="en-US"/>
              </w:rPr>
            </w:pPr>
            <w:r w:rsidRPr="005F7D2A">
              <w:rPr>
                <w:rFonts w:ascii="Verdana" w:eastAsiaTheme="minorHAnsi" w:hAnsi="Verdana"/>
                <w:b/>
                <w:bCs/>
                <w:sz w:val="20"/>
                <w:szCs w:val="20"/>
                <w:lang w:eastAsia="en-US"/>
              </w:rPr>
              <w:t>About "Plastic is fantastic"</w:t>
            </w:r>
          </w:p>
          <w:p w14:paraId="48E303D1" w14:textId="77777777" w:rsidR="008D5B5F" w:rsidRDefault="008D5B5F" w:rsidP="00011AC5">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0EA8ECEE" w14:textId="77777777" w:rsidR="008D5B5F" w:rsidRPr="005F7D2A" w:rsidRDefault="008D5B5F" w:rsidP="00011AC5">
            <w:pPr>
              <w:spacing w:line="276" w:lineRule="auto"/>
              <w:rPr>
                <w:rFonts w:ascii="Verdana" w:eastAsiaTheme="minorHAnsi" w:hAnsi="Verdana"/>
                <w:sz w:val="20"/>
                <w:szCs w:val="20"/>
                <w:lang w:eastAsia="en-US"/>
              </w:rPr>
            </w:pPr>
          </w:p>
          <w:p w14:paraId="58844855" w14:textId="77777777" w:rsidR="006637AE" w:rsidRDefault="008D5B5F" w:rsidP="00011AC5">
            <w:pPr>
              <w:spacing w:line="276" w:lineRule="auto"/>
              <w:rPr>
                <w:rFonts w:ascii="Verdana" w:eastAsiaTheme="minorHAnsi" w:hAnsi="Verdana"/>
                <w:sz w:val="20"/>
                <w:szCs w:val="20"/>
                <w:lang w:eastAsia="en-US"/>
              </w:rPr>
            </w:pPr>
            <w:r w:rsidRPr="005F7D2A">
              <w:rPr>
                <w:rFonts w:ascii="Verdana" w:eastAsiaTheme="minorHAnsi" w:hAnsi="Verdana"/>
                <w:sz w:val="20"/>
                <w:szCs w:val="20"/>
                <w:lang w:eastAsia="en-US"/>
              </w:rPr>
              <w:t>Alpla, the Austrian specialist for plastic packaging, has launched the campaign "Plastic is fantastic</w:t>
            </w:r>
            <w:r w:rsidRPr="005F7D2A">
              <w:rPr>
                <w:rFonts w:ascii="Verdana" w:eastAsiaTheme="minorHAnsi" w:hAnsi="Verdana"/>
                <w:i/>
                <w:iCs/>
                <w:sz w:val="20"/>
                <w:szCs w:val="20"/>
                <w:lang w:eastAsia="en-US"/>
              </w:rPr>
              <w:t xml:space="preserve">", </w:t>
            </w:r>
            <w:r w:rsidRPr="005F7D2A">
              <w:rPr>
                <w:rStyle w:val="Hervorhebung"/>
                <w:rFonts w:ascii="Verdana" w:hAnsi="Verdana"/>
                <w:sz w:val="20"/>
                <w:szCs w:val="20"/>
              </w:rPr>
              <w:t>due</w:t>
            </w:r>
            <w:r w:rsidRPr="005F7D2A">
              <w:rPr>
                <w:rFonts w:ascii="Verdana" w:hAnsi="Verdana"/>
                <w:i/>
                <w:iCs/>
                <w:sz w:val="20"/>
                <w:szCs w:val="20"/>
              </w:rPr>
              <w:t xml:space="preserve"> </w:t>
            </w:r>
            <w:r w:rsidRPr="005F7D2A">
              <w:rPr>
                <w:rStyle w:val="Hervorhebung"/>
                <w:rFonts w:ascii="Verdana" w:hAnsi="Verdana"/>
                <w:sz w:val="20"/>
                <w:szCs w:val="20"/>
              </w:rPr>
              <w:t>to</w:t>
            </w:r>
            <w:r w:rsidRPr="005F7D2A">
              <w:rPr>
                <w:rFonts w:ascii="Verdana" w:hAnsi="Verdana"/>
                <w:i/>
                <w:iCs/>
                <w:sz w:val="20"/>
                <w:szCs w:val="20"/>
              </w:rPr>
              <w:t xml:space="preserve"> </w:t>
            </w:r>
            <w:r w:rsidRPr="005F7D2A">
              <w:rPr>
                <w:rStyle w:val="Hervorhebung"/>
                <w:rFonts w:ascii="Verdana" w:hAnsi="Verdana"/>
                <w:sz w:val="20"/>
                <w:szCs w:val="20"/>
              </w:rPr>
              <w:t>its</w:t>
            </w:r>
            <w:r w:rsidRPr="005F7D2A">
              <w:rPr>
                <w:rFonts w:ascii="Verdana" w:hAnsi="Verdana"/>
                <w:i/>
                <w:iCs/>
                <w:sz w:val="20"/>
                <w:szCs w:val="20"/>
              </w:rPr>
              <w:t xml:space="preserve"> </w:t>
            </w:r>
            <w:r w:rsidRPr="005F7D2A">
              <w:rPr>
                <w:rStyle w:val="Hervorhebung"/>
                <w:rFonts w:ascii="Verdana" w:hAnsi="Verdana"/>
                <w:sz w:val="20"/>
                <w:szCs w:val="20"/>
              </w:rPr>
              <w:t>firm</w:t>
            </w:r>
            <w:r w:rsidRPr="005F7D2A">
              <w:rPr>
                <w:rFonts w:ascii="Verdana" w:hAnsi="Verdana"/>
                <w:i/>
                <w:iCs/>
                <w:sz w:val="20"/>
                <w:szCs w:val="20"/>
              </w:rPr>
              <w:t xml:space="preserve"> </w:t>
            </w:r>
            <w:r w:rsidRPr="005F7D2A">
              <w:rPr>
                <w:rStyle w:val="Hervorhebung"/>
                <w:rFonts w:ascii="Verdana" w:hAnsi="Verdana"/>
                <w:sz w:val="20"/>
                <w:szCs w:val="20"/>
              </w:rPr>
              <w:t>belief</w:t>
            </w:r>
            <w:r w:rsidRPr="005F7D2A">
              <w:rPr>
                <w:rFonts w:ascii="Verdana" w:hAnsi="Verdana"/>
                <w:i/>
                <w:iCs/>
                <w:sz w:val="20"/>
                <w:szCs w:val="20"/>
              </w:rPr>
              <w:t xml:space="preserve"> </w:t>
            </w:r>
            <w:r w:rsidRPr="005F7D2A">
              <w:rPr>
                <w:rFonts w:ascii="Verdana" w:hAnsi="Verdana"/>
                <w:sz w:val="20"/>
                <w:szCs w:val="20"/>
              </w:rPr>
              <w:t>in</w:t>
            </w:r>
            <w:r w:rsidRPr="005F7D2A">
              <w:rPr>
                <w:rFonts w:ascii="Verdana" w:hAnsi="Verdana"/>
                <w:i/>
                <w:iCs/>
                <w:sz w:val="20"/>
                <w:szCs w:val="20"/>
              </w:rPr>
              <w:t xml:space="preserve"> </w:t>
            </w:r>
            <w:r w:rsidRPr="005F7D2A">
              <w:rPr>
                <w:rStyle w:val="Hervorhebung"/>
                <w:rFonts w:ascii="Verdana" w:hAnsi="Verdana"/>
                <w:sz w:val="20"/>
                <w:szCs w:val="20"/>
              </w:rPr>
              <w:t xml:space="preserve">the potential of </w:t>
            </w:r>
            <w:r w:rsidRPr="005F7D2A">
              <w:rPr>
                <w:rFonts w:ascii="Verdana" w:hAnsi="Verdana"/>
                <w:sz w:val="20"/>
                <w:szCs w:val="20"/>
              </w:rPr>
              <w:t>recyclable</w:t>
            </w:r>
            <w:r w:rsidRPr="005F7D2A">
              <w:rPr>
                <w:rFonts w:ascii="Verdana" w:hAnsi="Verdana"/>
                <w:i/>
                <w:iCs/>
                <w:sz w:val="20"/>
                <w:szCs w:val="20"/>
              </w:rPr>
              <w:t xml:space="preserve"> </w:t>
            </w:r>
            <w:r w:rsidRPr="005F7D2A">
              <w:rPr>
                <w:rStyle w:val="Hervorhebung"/>
                <w:rFonts w:ascii="Verdana" w:hAnsi="Verdana"/>
                <w:sz w:val="20"/>
                <w:szCs w:val="20"/>
              </w:rPr>
              <w:t>material</w:t>
            </w:r>
            <w:r w:rsidRPr="005F7D2A">
              <w:rPr>
                <w:rFonts w:ascii="Verdana" w:hAnsi="Verdana"/>
                <w:sz w:val="20"/>
                <w:szCs w:val="20"/>
              </w:rPr>
              <w:t>.</w:t>
            </w:r>
            <w:r w:rsidRPr="005F7D2A">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23E1464E" w14:textId="77777777" w:rsidR="006637AE" w:rsidRDefault="006637AE" w:rsidP="00011AC5">
            <w:pPr>
              <w:spacing w:line="276" w:lineRule="auto"/>
              <w:rPr>
                <w:rFonts w:ascii="Verdana" w:eastAsiaTheme="minorHAnsi" w:hAnsi="Verdana"/>
                <w:sz w:val="20"/>
                <w:szCs w:val="20"/>
                <w:lang w:eastAsia="en-US"/>
              </w:rPr>
            </w:pPr>
          </w:p>
          <w:p w14:paraId="352451EC" w14:textId="77777777" w:rsidR="006637AE" w:rsidRPr="00747B1E" w:rsidRDefault="006637AE" w:rsidP="006637AE">
            <w:pPr>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9"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p w14:paraId="6C3A543C" w14:textId="4E28CF79" w:rsidR="00C64082" w:rsidRPr="00146710" w:rsidRDefault="00C64082" w:rsidP="003D21D8">
            <w:pPr>
              <w:spacing w:line="276" w:lineRule="auto"/>
              <w:rPr>
                <w:rFonts w:ascii="Verdana" w:eastAsiaTheme="minorHAnsi" w:hAnsi="Verdana"/>
                <w:sz w:val="20"/>
                <w:szCs w:val="20"/>
                <w:lang w:eastAsia="en-US"/>
              </w:rPr>
            </w:pPr>
          </w:p>
        </w:tc>
        <w:tc>
          <w:tcPr>
            <w:tcW w:w="2553" w:type="dxa"/>
          </w:tcPr>
          <w:p w14:paraId="4ACDDC7F" w14:textId="6E5C8A02" w:rsidR="00C64082" w:rsidRPr="00146710" w:rsidRDefault="008D5B5F" w:rsidP="00B92649">
            <w:pPr>
              <w:rPr>
                <w:rFonts w:ascii="Verdana" w:hAnsi="Verdana"/>
                <w:b/>
                <w:sz w:val="16"/>
                <w:szCs w:val="16"/>
              </w:rPr>
            </w:pPr>
            <w:r>
              <w:rPr>
                <w:rFonts w:ascii="Verdana" w:hAnsi="Verdana"/>
                <w:b/>
                <w:sz w:val="16"/>
                <w:szCs w:val="16"/>
              </w:rPr>
              <w:lastRenderedPageBreak/>
              <w:t>Contact</w:t>
            </w:r>
          </w:p>
          <w:p w14:paraId="5690DA43" w14:textId="77777777" w:rsidR="00C64082" w:rsidRPr="00146710" w:rsidRDefault="00C64082" w:rsidP="00B92649">
            <w:pPr>
              <w:rPr>
                <w:rFonts w:ascii="Verdana" w:hAnsi="Verdana"/>
                <w:b/>
                <w:sz w:val="16"/>
                <w:szCs w:val="16"/>
              </w:rPr>
            </w:pPr>
          </w:p>
          <w:p w14:paraId="0E122C49" w14:textId="77777777" w:rsidR="00C64082" w:rsidRPr="00146710" w:rsidRDefault="00C64082" w:rsidP="00B92649">
            <w:pPr>
              <w:rPr>
                <w:rFonts w:ascii="Verdana" w:hAnsi="Verdana"/>
                <w:sz w:val="16"/>
                <w:szCs w:val="16"/>
              </w:rPr>
            </w:pPr>
            <w:r w:rsidRPr="00146710">
              <w:rPr>
                <w:rFonts w:ascii="Verdana" w:hAnsi="Verdana"/>
                <w:sz w:val="16"/>
                <w:szCs w:val="16"/>
              </w:rPr>
              <w:t>Claudia Wörner</w:t>
            </w:r>
          </w:p>
          <w:p w14:paraId="6A39AE3B" w14:textId="77777777" w:rsidR="00C64082" w:rsidRPr="00146710" w:rsidRDefault="00C64082" w:rsidP="00B92649">
            <w:pPr>
              <w:rPr>
                <w:rFonts w:ascii="Verdana" w:hAnsi="Verdana"/>
                <w:sz w:val="16"/>
                <w:szCs w:val="16"/>
              </w:rPr>
            </w:pPr>
            <w:r w:rsidRPr="00146710">
              <w:rPr>
                <w:rFonts w:ascii="Verdana" w:hAnsi="Verdana"/>
                <w:sz w:val="16"/>
                <w:szCs w:val="16"/>
              </w:rPr>
              <w:t>yes or no Media GmbH</w:t>
            </w:r>
          </w:p>
          <w:p w14:paraId="41DDF2BD"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Vor dem Lauch 4</w:t>
            </w:r>
          </w:p>
          <w:p w14:paraId="7AB60650"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70567 Stuttgart</w:t>
            </w:r>
          </w:p>
          <w:p w14:paraId="341D1A1B"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Deutschland</w:t>
            </w:r>
          </w:p>
          <w:p w14:paraId="5B7F5F24" w14:textId="77777777" w:rsidR="00C64082" w:rsidRPr="00384DFC" w:rsidRDefault="00C64082" w:rsidP="00B92649">
            <w:pPr>
              <w:rPr>
                <w:rFonts w:ascii="Verdana" w:hAnsi="Verdana"/>
                <w:sz w:val="16"/>
                <w:szCs w:val="16"/>
                <w:lang w:val="de-DE"/>
              </w:rPr>
            </w:pPr>
            <w:hyperlink r:id="rId10" w:history="1">
              <w:r w:rsidRPr="00384DFC">
                <w:rPr>
                  <w:rStyle w:val="Hyperlink"/>
                  <w:rFonts w:ascii="Verdana" w:hAnsi="Verdana"/>
                  <w:color w:val="auto"/>
                  <w:sz w:val="16"/>
                  <w:szCs w:val="16"/>
                  <w:u w:val="none"/>
                  <w:lang w:val="de-DE"/>
                </w:rPr>
                <w:t>www.yes-or-no.de</w:t>
              </w:r>
            </w:hyperlink>
          </w:p>
          <w:p w14:paraId="4071C00B" w14:textId="77777777" w:rsidR="00C64082" w:rsidRPr="00384DFC" w:rsidRDefault="00C64082" w:rsidP="00B92649">
            <w:pPr>
              <w:rPr>
                <w:rFonts w:ascii="Verdana" w:hAnsi="Verdana"/>
                <w:sz w:val="16"/>
                <w:szCs w:val="16"/>
                <w:lang w:val="de-DE"/>
              </w:rPr>
            </w:pPr>
          </w:p>
          <w:p w14:paraId="66E14946" w14:textId="77777777" w:rsidR="00C64082" w:rsidRPr="00384DFC" w:rsidRDefault="00C64082" w:rsidP="00B92649">
            <w:pPr>
              <w:rPr>
                <w:rFonts w:ascii="Verdana" w:hAnsi="Verdana"/>
                <w:sz w:val="16"/>
                <w:szCs w:val="16"/>
                <w:lang w:val="de-DE"/>
              </w:rPr>
            </w:pPr>
            <w:r w:rsidRPr="00384DFC">
              <w:rPr>
                <w:rFonts w:ascii="Verdana" w:hAnsi="Verdana"/>
                <w:sz w:val="16"/>
                <w:szCs w:val="16"/>
                <w:lang w:val="de-DE"/>
              </w:rPr>
              <w:t>Tel + 49 711 7585 8900</w:t>
            </w:r>
          </w:p>
          <w:p w14:paraId="6BC4F61E" w14:textId="77777777" w:rsidR="00C64082" w:rsidRPr="00384DFC" w:rsidRDefault="00C64082" w:rsidP="00B92649">
            <w:pPr>
              <w:rPr>
                <w:lang w:val="de-DE"/>
              </w:rPr>
            </w:pPr>
            <w:r w:rsidRPr="00384DFC">
              <w:rPr>
                <w:rFonts w:ascii="Verdana" w:hAnsi="Verdana"/>
                <w:sz w:val="16"/>
                <w:szCs w:val="16"/>
                <w:lang w:val="de-DE"/>
              </w:rPr>
              <w:t>presse@yes-or-no.de</w:t>
            </w:r>
          </w:p>
          <w:p w14:paraId="28213652" w14:textId="77777777" w:rsidR="00C64082" w:rsidRPr="00384DFC" w:rsidRDefault="00C64082" w:rsidP="00B92649">
            <w:pPr>
              <w:tabs>
                <w:tab w:val="left" w:pos="6237"/>
              </w:tabs>
              <w:ind w:right="1132"/>
              <w:rPr>
                <w:rFonts w:ascii="Verdana" w:eastAsia="Times New Roman" w:hAnsi="Verdana" w:cs="Arial"/>
                <w:sz w:val="20"/>
                <w:szCs w:val="20"/>
                <w:lang w:val="de-DE"/>
              </w:rPr>
            </w:pPr>
          </w:p>
          <w:p w14:paraId="0864AB2E" w14:textId="77777777" w:rsidR="00C64082" w:rsidRPr="00384DFC" w:rsidRDefault="00C64082" w:rsidP="00B92649">
            <w:pPr>
              <w:rPr>
                <w:rFonts w:ascii="Verdana" w:hAnsi="Verdana"/>
                <w:sz w:val="16"/>
                <w:szCs w:val="16"/>
                <w:lang w:val="de-DE"/>
              </w:rPr>
            </w:pPr>
          </w:p>
          <w:p w14:paraId="1907C580" w14:textId="77777777" w:rsidR="00C64082" w:rsidRPr="00384DFC" w:rsidRDefault="00C64082" w:rsidP="00B92649">
            <w:pPr>
              <w:rPr>
                <w:rFonts w:ascii="Verdana" w:hAnsi="Verdana"/>
                <w:sz w:val="16"/>
                <w:szCs w:val="16"/>
                <w:lang w:val="de-DE"/>
              </w:rPr>
            </w:pPr>
          </w:p>
          <w:p w14:paraId="5A308568" w14:textId="32A144DB" w:rsidR="00C64082" w:rsidRPr="00146710" w:rsidRDefault="008D5B5F" w:rsidP="00B92649">
            <w:pPr>
              <w:rPr>
                <w:rFonts w:ascii="Verdana" w:hAnsi="Verdana"/>
                <w:sz w:val="16"/>
                <w:szCs w:val="16"/>
              </w:rPr>
            </w:pPr>
            <w:r>
              <w:rPr>
                <w:rFonts w:ascii="Verdana" w:hAnsi="Verdana"/>
                <w:sz w:val="16"/>
                <w:szCs w:val="16"/>
              </w:rPr>
              <w:t>Characters</w:t>
            </w:r>
            <w:r w:rsidR="00C64082" w:rsidRPr="00146710">
              <w:rPr>
                <w:rFonts w:ascii="Verdana" w:hAnsi="Verdana"/>
                <w:sz w:val="16"/>
                <w:szCs w:val="16"/>
              </w:rPr>
              <w:t>:</w:t>
            </w:r>
            <w:r w:rsidR="002C7679" w:rsidRPr="00146710">
              <w:rPr>
                <w:rFonts w:ascii="Verdana" w:hAnsi="Verdana"/>
                <w:sz w:val="16"/>
                <w:szCs w:val="16"/>
              </w:rPr>
              <w:t xml:space="preserve"> </w:t>
            </w:r>
            <w:r w:rsidR="00011AC5" w:rsidRPr="00011AC5">
              <w:rPr>
                <w:rFonts w:ascii="Verdana" w:hAnsi="Verdana"/>
                <w:sz w:val="16"/>
                <w:szCs w:val="16"/>
              </w:rPr>
              <w:t>4.213</w:t>
            </w:r>
          </w:p>
          <w:p w14:paraId="14BE6A53" w14:textId="1D2DAA8D" w:rsidR="00C64082" w:rsidRPr="00146710" w:rsidRDefault="00C64082" w:rsidP="00B92649">
            <w:pPr>
              <w:tabs>
                <w:tab w:val="left" w:pos="6237"/>
              </w:tabs>
              <w:ind w:right="1132"/>
              <w:rPr>
                <w:rFonts w:ascii="Verdana" w:eastAsia="Times New Roman" w:hAnsi="Verdana" w:cs="Arial"/>
                <w:sz w:val="20"/>
                <w:szCs w:val="20"/>
              </w:rPr>
            </w:pPr>
          </w:p>
        </w:tc>
      </w:tr>
    </w:tbl>
    <w:p w14:paraId="140E20A5" w14:textId="77777777" w:rsidR="003532A6" w:rsidRPr="00264873" w:rsidRDefault="003532A6" w:rsidP="00264873">
      <w:pPr>
        <w:spacing w:after="0"/>
        <w:ind w:right="565"/>
        <w:jc w:val="both"/>
        <w:rPr>
          <w:rFonts w:ascii="Verdana" w:eastAsia="Times New Roman" w:hAnsi="Verdana"/>
          <w:sz w:val="16"/>
          <w:szCs w:val="16"/>
        </w:rPr>
      </w:pPr>
    </w:p>
    <w:sectPr w:rsidR="003532A6" w:rsidRPr="00264873" w:rsidSect="008C6244">
      <w:headerReference w:type="default" r:id="rId11"/>
      <w:footerReference w:type="default" r:id="rId12"/>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Pr="00146710" w:rsidRDefault="00767EA6" w:rsidP="00262E2F">
      <w:pPr>
        <w:spacing w:after="0" w:line="240" w:lineRule="auto"/>
      </w:pPr>
      <w:r w:rsidRPr="00146710">
        <w:separator/>
      </w:r>
    </w:p>
  </w:endnote>
  <w:endnote w:type="continuationSeparator" w:id="0">
    <w:p w14:paraId="61B4D54C" w14:textId="77777777" w:rsidR="00767EA6" w:rsidRPr="00146710" w:rsidRDefault="00767EA6" w:rsidP="00262E2F">
      <w:pPr>
        <w:spacing w:after="0" w:line="240" w:lineRule="auto"/>
      </w:pPr>
      <w:r w:rsidRPr="0014671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14671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46710" w14:paraId="4F2FDBD4" w14:textId="77777777" w:rsidTr="003E1C1F">
      <w:tc>
        <w:tcPr>
          <w:tcW w:w="6804" w:type="dxa"/>
        </w:tcPr>
        <w:p w14:paraId="0637FFB3" w14:textId="6D55B528" w:rsidR="00B546F2" w:rsidRPr="00146710" w:rsidRDefault="00B546F2" w:rsidP="00B546F2">
          <w:pPr>
            <w:pStyle w:val="Fuzeile"/>
            <w:rPr>
              <w:rFonts w:ascii="Verdana" w:hAnsi="Verdana"/>
              <w:sz w:val="20"/>
              <w:szCs w:val="20"/>
            </w:rPr>
          </w:pPr>
        </w:p>
      </w:tc>
      <w:tc>
        <w:tcPr>
          <w:tcW w:w="2126" w:type="dxa"/>
        </w:tcPr>
        <w:p w14:paraId="2D592010" w14:textId="196511B8" w:rsidR="00B546F2" w:rsidRPr="00146710" w:rsidRDefault="00E01B1D" w:rsidP="003E1C1F">
          <w:pPr>
            <w:pStyle w:val="Fuzeile"/>
            <w:tabs>
              <w:tab w:val="center" w:pos="955"/>
              <w:tab w:val="right" w:pos="1910"/>
            </w:tabs>
            <w:jc w:val="right"/>
            <w:rPr>
              <w:rFonts w:ascii="Verdana" w:hAnsi="Verdana"/>
              <w:color w:val="333333"/>
              <w:sz w:val="16"/>
              <w:szCs w:val="16"/>
            </w:rPr>
          </w:pPr>
          <w:r w:rsidRPr="00146710">
            <w:rPr>
              <w:rFonts w:ascii="Verdana" w:hAnsi="Verdana"/>
              <w:color w:val="333333"/>
              <w:sz w:val="20"/>
              <w:szCs w:val="20"/>
            </w:rPr>
            <w:tab/>
          </w:r>
          <w:r w:rsidR="008D5B5F">
            <w:rPr>
              <w:rFonts w:ascii="Verdana" w:hAnsi="Verdana"/>
              <w:color w:val="333333"/>
              <w:sz w:val="20"/>
              <w:szCs w:val="20"/>
            </w:rPr>
            <w:t>Page</w:t>
          </w:r>
          <w:r w:rsidR="00B546F2" w:rsidRPr="00146710">
            <w:rPr>
              <w:rFonts w:ascii="Verdana" w:hAnsi="Verdana"/>
              <w:color w:val="333333"/>
              <w:sz w:val="16"/>
              <w:szCs w:val="16"/>
            </w:rPr>
            <w:t xml:space="preserve"> </w:t>
          </w:r>
          <w:r w:rsidR="00B546F2" w:rsidRPr="00146710">
            <w:rPr>
              <w:rFonts w:ascii="Verdana" w:hAnsi="Verdana"/>
              <w:color w:val="333333"/>
              <w:sz w:val="16"/>
              <w:szCs w:val="16"/>
            </w:rPr>
            <w:fldChar w:fldCharType="begin"/>
          </w:r>
          <w:r w:rsidR="00B546F2" w:rsidRPr="00146710">
            <w:rPr>
              <w:rFonts w:ascii="Verdana" w:hAnsi="Verdana"/>
              <w:color w:val="333333"/>
              <w:sz w:val="16"/>
              <w:szCs w:val="16"/>
            </w:rPr>
            <w:instrText>PAGE  \* Arabic  \* MERGEFORMAT</w:instrText>
          </w:r>
          <w:r w:rsidR="00B546F2" w:rsidRPr="00146710">
            <w:rPr>
              <w:rFonts w:ascii="Verdana" w:hAnsi="Verdana"/>
              <w:color w:val="333333"/>
              <w:sz w:val="16"/>
              <w:szCs w:val="16"/>
            </w:rPr>
            <w:fldChar w:fldCharType="separate"/>
          </w:r>
          <w:r w:rsidR="00B546F2" w:rsidRPr="00146710">
            <w:rPr>
              <w:rFonts w:ascii="Verdana" w:hAnsi="Verdana"/>
              <w:color w:val="333333"/>
              <w:sz w:val="16"/>
              <w:szCs w:val="16"/>
            </w:rPr>
            <w:t>1</w:t>
          </w:r>
          <w:r w:rsidR="00B546F2" w:rsidRPr="00146710">
            <w:rPr>
              <w:rFonts w:ascii="Verdana" w:hAnsi="Verdana"/>
              <w:color w:val="333333"/>
              <w:sz w:val="16"/>
              <w:szCs w:val="16"/>
            </w:rPr>
            <w:fldChar w:fldCharType="end"/>
          </w:r>
          <w:r w:rsidR="00B546F2" w:rsidRPr="00146710">
            <w:rPr>
              <w:rFonts w:ascii="Verdana" w:hAnsi="Verdana"/>
              <w:color w:val="333333"/>
              <w:sz w:val="16"/>
              <w:szCs w:val="16"/>
            </w:rPr>
            <w:t>/</w:t>
          </w:r>
          <w:r w:rsidR="00B546F2" w:rsidRPr="00146710">
            <w:rPr>
              <w:rFonts w:ascii="Verdana" w:hAnsi="Verdana"/>
              <w:color w:val="333333"/>
              <w:sz w:val="16"/>
              <w:szCs w:val="16"/>
            </w:rPr>
            <w:fldChar w:fldCharType="begin"/>
          </w:r>
          <w:r w:rsidR="00B546F2" w:rsidRPr="00146710">
            <w:rPr>
              <w:rFonts w:ascii="Verdana" w:hAnsi="Verdana"/>
              <w:color w:val="333333"/>
              <w:sz w:val="16"/>
              <w:szCs w:val="16"/>
            </w:rPr>
            <w:instrText>NUMPAGES  \* Arabic  \* MERGEFORMAT</w:instrText>
          </w:r>
          <w:r w:rsidR="00B546F2" w:rsidRPr="00146710">
            <w:rPr>
              <w:rFonts w:ascii="Verdana" w:hAnsi="Verdana"/>
              <w:color w:val="333333"/>
              <w:sz w:val="16"/>
              <w:szCs w:val="16"/>
            </w:rPr>
            <w:fldChar w:fldCharType="separate"/>
          </w:r>
          <w:r w:rsidR="00B546F2" w:rsidRPr="00146710">
            <w:rPr>
              <w:rFonts w:ascii="Verdana" w:hAnsi="Verdana"/>
              <w:color w:val="333333"/>
              <w:sz w:val="16"/>
              <w:szCs w:val="16"/>
            </w:rPr>
            <w:t>1</w:t>
          </w:r>
          <w:r w:rsidR="00B546F2" w:rsidRPr="00146710">
            <w:rPr>
              <w:rFonts w:ascii="Verdana" w:hAnsi="Verdana"/>
              <w:color w:val="333333"/>
              <w:sz w:val="16"/>
              <w:szCs w:val="16"/>
            </w:rPr>
            <w:fldChar w:fldCharType="end"/>
          </w:r>
        </w:p>
      </w:tc>
    </w:tr>
  </w:tbl>
  <w:p w14:paraId="34F06C07" w14:textId="2A1E3F7B" w:rsidR="000D5D4F" w:rsidRPr="0014671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Pr="00146710" w:rsidRDefault="00767EA6" w:rsidP="00262E2F">
      <w:pPr>
        <w:spacing w:after="0" w:line="240" w:lineRule="auto"/>
      </w:pPr>
      <w:r w:rsidRPr="00146710">
        <w:separator/>
      </w:r>
    </w:p>
  </w:footnote>
  <w:footnote w:type="continuationSeparator" w:id="0">
    <w:p w14:paraId="7E57C44A" w14:textId="77777777" w:rsidR="00767EA6" w:rsidRPr="00146710" w:rsidRDefault="00767EA6" w:rsidP="00262E2F">
      <w:pPr>
        <w:spacing w:after="0" w:line="240" w:lineRule="auto"/>
      </w:pPr>
      <w:r w:rsidRPr="00146710">
        <w:continuationSeparator/>
      </w:r>
    </w:p>
  </w:footnote>
  <w:footnote w:id="1">
    <w:p w14:paraId="3814A457" w14:textId="5DAC2A80" w:rsidR="008D5B5F" w:rsidRPr="008D5B5F" w:rsidRDefault="008D5B5F">
      <w:pPr>
        <w:pStyle w:val="Funotentext"/>
        <w:rPr>
          <w:lang w:val="de-DE"/>
        </w:rPr>
      </w:pPr>
      <w:r>
        <w:rPr>
          <w:rStyle w:val="Funotenzeichen"/>
        </w:rPr>
        <w:footnoteRef/>
      </w:r>
      <w:r>
        <w:t xml:space="preserve"> </w:t>
      </w:r>
      <w:r w:rsidRPr="008D5B5F">
        <w:t>https://www.rescue.org/de/artikel/die-zehn-schlimmsten-humanitaeren-krisen-2023</w:t>
      </w:r>
    </w:p>
  </w:footnote>
  <w:footnote w:id="2">
    <w:p w14:paraId="0351A7CF" w14:textId="25E1BE0E" w:rsidR="008D5B5F" w:rsidRPr="008D5B5F" w:rsidRDefault="008D5B5F">
      <w:pPr>
        <w:pStyle w:val="Funotentext"/>
        <w:rPr>
          <w:lang w:val="de-DE"/>
        </w:rPr>
      </w:pPr>
      <w:r>
        <w:rPr>
          <w:rStyle w:val="Funotenzeichen"/>
        </w:rPr>
        <w:footnoteRef/>
      </w:r>
      <w:r w:rsidRPr="008D5B5F">
        <w:rPr>
          <w:lang w:val="de-DE"/>
        </w:rPr>
        <w:t xml:space="preserve"> https://www.uno-fluechtlingshilfe.de/informieren/fluechtlingszahlen</w:t>
      </w:r>
    </w:p>
  </w:footnote>
  <w:footnote w:id="3">
    <w:p w14:paraId="430E45FB" w14:textId="36CBF92F" w:rsidR="008D5B5F" w:rsidRPr="008D5B5F" w:rsidRDefault="008D5B5F">
      <w:pPr>
        <w:pStyle w:val="Funotentext"/>
        <w:rPr>
          <w:lang w:val="de-DE"/>
        </w:rPr>
      </w:pPr>
      <w:r>
        <w:rPr>
          <w:rStyle w:val="Funotenzeichen"/>
        </w:rPr>
        <w:footnoteRef/>
      </w:r>
      <w:r w:rsidRPr="008D5B5F">
        <w:rPr>
          <w:lang w:val="de-DE"/>
        </w:rPr>
        <w:t xml:space="preserve"> https://de.statista.com/statistik/daten/studie/249326/umfrage/anzahl-der-weltweiten-naturkatastrophen/</w:t>
      </w:r>
    </w:p>
  </w:footnote>
  <w:footnote w:id="4">
    <w:p w14:paraId="0DFE6078" w14:textId="5AE2BFF5" w:rsidR="008D5B5F" w:rsidRPr="008D5B5F" w:rsidRDefault="008D5B5F">
      <w:pPr>
        <w:pStyle w:val="Funotentext"/>
        <w:rPr>
          <w:lang w:val="de-DE"/>
        </w:rPr>
      </w:pPr>
      <w:r>
        <w:rPr>
          <w:rStyle w:val="Funotenzeichen"/>
        </w:rPr>
        <w:footnoteRef/>
      </w:r>
      <w:r w:rsidRPr="008D5B5F">
        <w:rPr>
          <w:lang w:val="de-DE"/>
        </w:rPr>
        <w:t xml:space="preserve"> https://de.statista.com/statistik/daten/studie/2736/umfrage/entwicklung-der-anzahl-von-konflikten-weltweit/</w:t>
      </w:r>
    </w:p>
  </w:footnote>
  <w:footnote w:id="5">
    <w:p w14:paraId="75815663" w14:textId="17BCA9F7" w:rsidR="008D5B5F" w:rsidRPr="008D5B5F" w:rsidRDefault="008D5B5F">
      <w:pPr>
        <w:pStyle w:val="Funotentext"/>
        <w:rPr>
          <w:lang w:val="de-DE"/>
        </w:rPr>
      </w:pPr>
      <w:r>
        <w:rPr>
          <w:rStyle w:val="Funotenzeichen"/>
        </w:rPr>
        <w:footnoteRef/>
      </w:r>
      <w:r w:rsidRPr="008D5B5F">
        <w:rPr>
          <w:lang w:val="de-DE"/>
        </w:rPr>
        <w:t xml:space="preserve"> https://brauer-bund.de/pressemitteilungen/ukraine-bittet-um-trinkwasser-und-pet-flaschen/</w:t>
      </w:r>
    </w:p>
  </w:footnote>
  <w:footnote w:id="6">
    <w:p w14:paraId="5BBAAF85" w14:textId="21066DEE" w:rsidR="008D5B5F" w:rsidRPr="00011AC5" w:rsidRDefault="008D5B5F">
      <w:pPr>
        <w:pStyle w:val="Funotentext"/>
        <w:rPr>
          <w:lang w:val="de-DE"/>
        </w:rPr>
      </w:pPr>
      <w:r>
        <w:rPr>
          <w:rStyle w:val="Funotenzeichen"/>
        </w:rPr>
        <w:footnoteRef/>
      </w:r>
      <w:r w:rsidRPr="00011AC5">
        <w:rPr>
          <w:lang w:val="de-DE"/>
        </w:rPr>
        <w:t xml:space="preserve"> </w:t>
      </w:r>
      <w:r w:rsidR="00011AC5" w:rsidRPr="00011AC5">
        <w:rPr>
          <w:lang w:val="de-DE"/>
        </w:rPr>
        <w:t>https://www.bbk.bund.de/DE/Warnung-Vorsorge/Vorsorge/Bevorraten/bevorraten_node.html</w:t>
      </w:r>
    </w:p>
  </w:footnote>
  <w:footnote w:id="7">
    <w:p w14:paraId="7BDEA09D" w14:textId="39D0AD84" w:rsidR="008D5B5F" w:rsidRPr="008D5B5F" w:rsidRDefault="008D5B5F">
      <w:pPr>
        <w:pStyle w:val="Funotentext"/>
        <w:rPr>
          <w:lang w:val="de-DE"/>
        </w:rPr>
      </w:pPr>
      <w:r>
        <w:rPr>
          <w:rStyle w:val="Funotenzeichen"/>
        </w:rPr>
        <w:footnoteRef/>
      </w:r>
      <w:r w:rsidRPr="00011AC5">
        <w:rPr>
          <w:lang w:val="de-DE"/>
        </w:rPr>
        <w:t xml:space="preserve"> </w:t>
      </w:r>
      <w:r w:rsidR="00011AC5" w:rsidRPr="00011AC5">
        <w:rPr>
          <w:lang w:val="de-DE"/>
        </w:rPr>
        <w:t>https://plasticbank.com/</w:t>
      </w:r>
    </w:p>
  </w:footnote>
  <w:footnote w:id="8">
    <w:p w14:paraId="620FD7E9" w14:textId="090F6429" w:rsidR="008D5B5F" w:rsidRPr="00011AC5" w:rsidRDefault="008D5B5F">
      <w:pPr>
        <w:pStyle w:val="Funotentext"/>
        <w:rPr>
          <w:lang w:val="de-DE"/>
        </w:rPr>
      </w:pPr>
      <w:r>
        <w:rPr>
          <w:rStyle w:val="Funotenzeichen"/>
        </w:rPr>
        <w:footnoteRef/>
      </w:r>
      <w:r w:rsidRPr="00011AC5">
        <w:rPr>
          <w:lang w:val="de-DE"/>
        </w:rPr>
        <w:t xml:space="preserve"> </w:t>
      </w:r>
      <w:r w:rsidR="00011AC5" w:rsidRPr="00011AC5">
        <w:rPr>
          <w:lang w:val="de-DE"/>
        </w:rPr>
        <w:t>https://www.unesco.de/kultur-und-natur/wasser-und-ozeane/weltwasserbericht-2022-grundwasser</w:t>
      </w:r>
    </w:p>
  </w:footnote>
  <w:footnote w:id="9">
    <w:p w14:paraId="1E3562A0" w14:textId="7FFDA146" w:rsidR="008D5B5F" w:rsidRPr="00011AC5" w:rsidRDefault="008D5B5F">
      <w:pPr>
        <w:pStyle w:val="Funotentext"/>
        <w:rPr>
          <w:lang w:val="de-DE"/>
        </w:rPr>
      </w:pPr>
      <w:r>
        <w:rPr>
          <w:rStyle w:val="Funotenzeichen"/>
        </w:rPr>
        <w:footnoteRef/>
      </w:r>
      <w:r w:rsidRPr="00011AC5">
        <w:rPr>
          <w:lang w:val="de-DE"/>
        </w:rPr>
        <w:t xml:space="preserve"> </w:t>
      </w:r>
      <w:r w:rsidR="00011AC5" w:rsidRPr="00011AC5">
        <w:rPr>
          <w:lang w:val="de-DE"/>
        </w:rPr>
        <w:t>https://www.unicef.de/informieren/aktuelles/blog/-/weltwassertag-2023-zehn-fakten-ueber-wasser/275338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146710" w:rsidRDefault="00023E38" w:rsidP="00C135CE">
    <w:pPr>
      <w:pStyle w:val="Kopfzeile"/>
      <w:tabs>
        <w:tab w:val="clear" w:pos="4536"/>
        <w:tab w:val="clear" w:pos="9072"/>
        <w:tab w:val="left" w:pos="1418"/>
      </w:tabs>
      <w:spacing w:line="276" w:lineRule="auto"/>
      <w:ind w:left="7080" w:firstLine="8"/>
      <w:rPr>
        <w:color w:val="333333"/>
      </w:rPr>
    </w:pPr>
    <w:r w:rsidRPr="0014671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97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1AC5"/>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A5BF1"/>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46710"/>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54A"/>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4DFC"/>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43C89"/>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5BC7"/>
    <w:rsid w:val="006460BB"/>
    <w:rsid w:val="00650DA3"/>
    <w:rsid w:val="00651FE3"/>
    <w:rsid w:val="00662D17"/>
    <w:rsid w:val="006637AE"/>
    <w:rsid w:val="006708B5"/>
    <w:rsid w:val="00671BA4"/>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5B5F"/>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48DA"/>
    <w:rsid w:val="00B73A42"/>
    <w:rsid w:val="00B85BB9"/>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37DB"/>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7633"/>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8D5B5F"/>
    <w:rPr>
      <w:i/>
      <w:iCs/>
    </w:rPr>
  </w:style>
  <w:style w:type="paragraph" w:styleId="Funotentext">
    <w:name w:val="footnote text"/>
    <w:basedOn w:val="Standard"/>
    <w:link w:val="FunotentextZchn"/>
    <w:uiPriority w:val="99"/>
    <w:semiHidden/>
    <w:unhideWhenUsed/>
    <w:rsid w:val="008D5B5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D5B5F"/>
    <w:rPr>
      <w:sz w:val="20"/>
      <w:szCs w:val="20"/>
      <w:lang w:val="en-US"/>
    </w:rPr>
  </w:style>
  <w:style w:type="character" w:styleId="Funotenzeichen">
    <w:name w:val="footnote reference"/>
    <w:basedOn w:val="Absatz-Standardschriftart"/>
    <w:uiPriority w:val="99"/>
    <w:semiHidden/>
    <w:unhideWhenUsed/>
    <w:rsid w:val="008D5B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es-or-no.de" TargetMode="External"/><Relationship Id="rId4" Type="http://schemas.openxmlformats.org/officeDocument/2006/relationships/settings" Target="settings.xml"/><Relationship Id="rId9"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4316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58</cp:revision>
  <cp:lastPrinted>2021-04-09T09:59:00Z</cp:lastPrinted>
  <dcterms:created xsi:type="dcterms:W3CDTF">2018-10-29T16:42:00Z</dcterms:created>
  <dcterms:modified xsi:type="dcterms:W3CDTF">2025-03-04T10:40:00Z</dcterms:modified>
</cp:coreProperties>
</file>